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274"/>
        <w:tblW w:w="10451" w:type="dxa"/>
        <w:tblBorders>
          <w:top w:val="thinThickSmallGap" w:sz="24" w:space="0" w:color="943634"/>
          <w:left w:val="thinThickSmallGap" w:sz="24" w:space="0" w:color="943634"/>
          <w:bottom w:val="thinThickSmallGap" w:sz="24" w:space="0" w:color="943634"/>
          <w:right w:val="thinThickSmallGap" w:sz="24" w:space="0" w:color="943634"/>
          <w:insideH w:val="thinThickSmallGap" w:sz="24" w:space="0" w:color="943634"/>
          <w:insideV w:val="thinThickSmallGap" w:sz="24" w:space="0" w:color="943634"/>
        </w:tblBorders>
        <w:shd w:val="clear" w:color="auto" w:fill="FDE9D9"/>
        <w:tblLook w:val="04A0" w:firstRow="1" w:lastRow="0" w:firstColumn="1" w:lastColumn="0" w:noHBand="0" w:noVBand="1"/>
      </w:tblPr>
      <w:tblGrid>
        <w:gridCol w:w="10451"/>
      </w:tblGrid>
      <w:tr w:rsidR="00A90F2F" w:rsidRPr="00A90F2F" w14:paraId="0543C35B" w14:textId="77777777" w:rsidTr="005E02A9">
        <w:trPr>
          <w:trHeight w:val="15816"/>
        </w:trPr>
        <w:tc>
          <w:tcPr>
            <w:tcW w:w="10451" w:type="dxa"/>
            <w:shd w:val="clear" w:color="auto" w:fill="FDE9D9"/>
          </w:tcPr>
          <w:p w14:paraId="5BCBFB93" w14:textId="3C9E9266" w:rsidR="005E02A9" w:rsidRPr="005E02A9" w:rsidRDefault="005E02A9" w:rsidP="005E02A9">
            <w:pPr>
              <w:spacing w:after="0" w:line="240" w:lineRule="auto"/>
              <w:rPr>
                <w:rFonts w:ascii="Calibri" w:hAnsi="Calibri" w:cs="Calibri"/>
                <w:sz w:val="20"/>
                <w:szCs w:val="20"/>
                <w:lang w:val="en"/>
              </w:rPr>
            </w:pPr>
            <w:r w:rsidRPr="005E02A9">
              <w:rPr>
                <w:rFonts w:ascii="Calibri" w:hAnsi="Calibri" w:cs="Calibri"/>
                <w:sz w:val="20"/>
                <w:szCs w:val="20"/>
                <w:lang w:val="en"/>
              </w:rPr>
              <w:t>For the company, employees are valuable partners in its development and the achievement of a competitive advantage. In this context, the</w:t>
            </w:r>
            <w:r w:rsidR="003B0716">
              <w:rPr>
                <w:rFonts w:ascii="Calibri" w:hAnsi="Calibri" w:cs="Calibri"/>
                <w:sz w:val="20"/>
                <w:szCs w:val="20"/>
                <w:lang w:val="en"/>
              </w:rPr>
              <w:t xml:space="preserve"> group of</w:t>
            </w:r>
            <w:r w:rsidRPr="005E02A9">
              <w:rPr>
                <w:rFonts w:ascii="Calibri" w:hAnsi="Calibri" w:cs="Calibri"/>
                <w:sz w:val="20"/>
                <w:szCs w:val="20"/>
                <w:lang w:val="en"/>
              </w:rPr>
              <w:t xml:space="preserve"> </w:t>
            </w:r>
            <w:r w:rsidRPr="005E02A9">
              <w:rPr>
                <w:rFonts w:ascii="Calibri" w:hAnsi="Calibri" w:cs="Calibri"/>
                <w:sz w:val="20"/>
                <w:szCs w:val="20"/>
              </w:rPr>
              <w:t>Compan</w:t>
            </w:r>
            <w:r w:rsidR="003B0716">
              <w:rPr>
                <w:rFonts w:ascii="Calibri" w:hAnsi="Calibri" w:cs="Calibri"/>
                <w:sz w:val="20"/>
                <w:szCs w:val="20"/>
              </w:rPr>
              <w:t>ies</w:t>
            </w:r>
            <w:r w:rsidRPr="005E02A9">
              <w:rPr>
                <w:rFonts w:ascii="Calibri" w:hAnsi="Calibri" w:cs="Calibri"/>
                <w:sz w:val="20"/>
                <w:szCs w:val="20"/>
                <w:lang w:val="en"/>
              </w:rPr>
              <w:t xml:space="preserve"> takes care of the Health and Safety of employees in a working environment, which is characterized by equal opportunities, continuous education and training. The implementation and continuous improvement of </w:t>
            </w:r>
            <w:r w:rsidR="00774E33">
              <w:rPr>
                <w:rFonts w:ascii="Calibri" w:hAnsi="Calibri" w:cs="Calibri"/>
                <w:sz w:val="20"/>
                <w:szCs w:val="20"/>
                <w:lang w:val="en"/>
              </w:rPr>
              <w:t xml:space="preserve">the </w:t>
            </w:r>
            <w:r w:rsidR="00774E33" w:rsidRPr="00774E33">
              <w:rPr>
                <w:rFonts w:ascii="Calibri" w:hAnsi="Calibri" w:cs="Calibri"/>
                <w:b/>
                <w:bCs/>
                <w:sz w:val="20"/>
                <w:szCs w:val="20"/>
                <w:lang w:val="en"/>
              </w:rPr>
              <w:t>O</w:t>
            </w:r>
            <w:r w:rsidR="00774E33">
              <w:rPr>
                <w:rFonts w:ascii="Calibri" w:hAnsi="Calibri" w:cs="Calibri"/>
                <w:sz w:val="20"/>
                <w:szCs w:val="20"/>
                <w:lang w:val="en"/>
              </w:rPr>
              <w:t xml:space="preserve">ccupational </w:t>
            </w:r>
            <w:r w:rsidRPr="005E02A9">
              <w:rPr>
                <w:rFonts w:ascii="Calibri" w:hAnsi="Calibri" w:cs="Calibri"/>
                <w:b/>
                <w:bCs/>
                <w:sz w:val="20"/>
                <w:szCs w:val="20"/>
                <w:lang w:val="en"/>
              </w:rPr>
              <w:t>H</w:t>
            </w:r>
            <w:r w:rsidRPr="005E02A9">
              <w:rPr>
                <w:rFonts w:ascii="Calibri" w:hAnsi="Calibri" w:cs="Calibri"/>
                <w:sz w:val="20"/>
                <w:szCs w:val="20"/>
                <w:lang w:val="en"/>
              </w:rPr>
              <w:t xml:space="preserve">ealth &amp; </w:t>
            </w:r>
            <w:r w:rsidRPr="005E02A9">
              <w:rPr>
                <w:rFonts w:ascii="Calibri" w:hAnsi="Calibri" w:cs="Calibri"/>
                <w:b/>
                <w:bCs/>
                <w:sz w:val="20"/>
                <w:szCs w:val="20"/>
                <w:lang w:val="en"/>
              </w:rPr>
              <w:t>S</w:t>
            </w:r>
            <w:r w:rsidRPr="005E02A9">
              <w:rPr>
                <w:rFonts w:ascii="Calibri" w:hAnsi="Calibri" w:cs="Calibri"/>
                <w:sz w:val="20"/>
                <w:szCs w:val="20"/>
                <w:lang w:val="en"/>
              </w:rPr>
              <w:t xml:space="preserve">afety </w:t>
            </w:r>
            <w:r w:rsidRPr="005E02A9">
              <w:rPr>
                <w:rFonts w:ascii="Calibri" w:hAnsi="Calibri" w:cs="Calibri"/>
                <w:b/>
                <w:bCs/>
                <w:sz w:val="20"/>
                <w:szCs w:val="20"/>
                <w:lang w:val="en"/>
              </w:rPr>
              <w:t>M</w:t>
            </w:r>
            <w:r w:rsidRPr="005E02A9">
              <w:rPr>
                <w:rFonts w:ascii="Calibri" w:hAnsi="Calibri" w:cs="Calibri"/>
                <w:sz w:val="20"/>
                <w:szCs w:val="20"/>
                <w:lang w:val="en"/>
              </w:rPr>
              <w:t xml:space="preserve">anagement </w:t>
            </w:r>
            <w:r w:rsidRPr="005E02A9">
              <w:rPr>
                <w:rFonts w:ascii="Calibri" w:hAnsi="Calibri" w:cs="Calibri"/>
                <w:b/>
                <w:bCs/>
                <w:sz w:val="20"/>
                <w:szCs w:val="20"/>
                <w:lang w:val="en"/>
              </w:rPr>
              <w:t>S</w:t>
            </w:r>
            <w:r w:rsidRPr="005E02A9">
              <w:rPr>
                <w:rFonts w:ascii="Calibri" w:hAnsi="Calibri" w:cs="Calibri"/>
                <w:sz w:val="20"/>
                <w:szCs w:val="20"/>
                <w:lang w:val="en"/>
              </w:rPr>
              <w:t>ystems (</w:t>
            </w:r>
            <w:r w:rsidR="00774E33">
              <w:rPr>
                <w:rFonts w:ascii="Calibri" w:hAnsi="Calibri" w:cs="Calibri"/>
                <w:sz w:val="20"/>
                <w:szCs w:val="20"/>
                <w:lang w:val="en"/>
              </w:rPr>
              <w:t>O</w:t>
            </w:r>
            <w:r w:rsidRPr="005E02A9">
              <w:rPr>
                <w:rFonts w:ascii="Calibri" w:hAnsi="Calibri" w:cs="Calibri"/>
                <w:sz w:val="20"/>
                <w:szCs w:val="20"/>
                <w:lang w:val="en"/>
              </w:rPr>
              <w:t xml:space="preserve">HSMS) and </w:t>
            </w:r>
            <w:r w:rsidRPr="005E02A9">
              <w:rPr>
                <w:rFonts w:ascii="Calibri" w:hAnsi="Calibri" w:cs="Calibri"/>
                <w:b/>
                <w:bCs/>
                <w:sz w:val="20"/>
                <w:szCs w:val="20"/>
                <w:lang w:val="en"/>
              </w:rPr>
              <w:t>R</w:t>
            </w:r>
            <w:r w:rsidRPr="005E02A9">
              <w:rPr>
                <w:rFonts w:ascii="Calibri" w:hAnsi="Calibri" w:cs="Calibri"/>
                <w:sz w:val="20"/>
                <w:szCs w:val="20"/>
                <w:lang w:val="en"/>
              </w:rPr>
              <w:t xml:space="preserve">oad </w:t>
            </w:r>
            <w:r w:rsidRPr="005E02A9">
              <w:rPr>
                <w:rFonts w:ascii="Calibri" w:hAnsi="Calibri" w:cs="Calibri"/>
                <w:b/>
                <w:bCs/>
                <w:sz w:val="20"/>
                <w:szCs w:val="20"/>
                <w:lang w:val="en"/>
              </w:rPr>
              <w:t>S</w:t>
            </w:r>
            <w:r w:rsidRPr="005E02A9">
              <w:rPr>
                <w:rFonts w:ascii="Calibri" w:hAnsi="Calibri" w:cs="Calibri"/>
                <w:sz w:val="20"/>
                <w:szCs w:val="20"/>
                <w:lang w:val="en"/>
              </w:rPr>
              <w:t xml:space="preserve">afety </w:t>
            </w:r>
            <w:r w:rsidRPr="005E02A9">
              <w:rPr>
                <w:rFonts w:ascii="Calibri" w:hAnsi="Calibri" w:cs="Calibri"/>
                <w:b/>
                <w:bCs/>
                <w:sz w:val="20"/>
                <w:szCs w:val="20"/>
                <w:lang w:val="en"/>
              </w:rPr>
              <w:t>M</w:t>
            </w:r>
            <w:r w:rsidRPr="005E02A9">
              <w:rPr>
                <w:rFonts w:ascii="Calibri" w:hAnsi="Calibri" w:cs="Calibri"/>
                <w:sz w:val="20"/>
                <w:szCs w:val="20"/>
                <w:lang w:val="en"/>
              </w:rPr>
              <w:t xml:space="preserve">anagement </w:t>
            </w:r>
            <w:r w:rsidRPr="005E02A9">
              <w:rPr>
                <w:rFonts w:ascii="Calibri" w:hAnsi="Calibri" w:cs="Calibri"/>
                <w:b/>
                <w:bCs/>
                <w:sz w:val="20"/>
                <w:szCs w:val="20"/>
                <w:lang w:val="en"/>
              </w:rPr>
              <w:t>S</w:t>
            </w:r>
            <w:r w:rsidRPr="005E02A9">
              <w:rPr>
                <w:rFonts w:ascii="Calibri" w:hAnsi="Calibri" w:cs="Calibri"/>
                <w:sz w:val="20"/>
                <w:szCs w:val="20"/>
                <w:lang w:val="en"/>
              </w:rPr>
              <w:t xml:space="preserve">ystems (RSMS) aims to identify, evaluate, control and measure Occupational Risks in all sectors of its production &amp; commercial activities: Provision of Integrated Services. The production of various products. The storage and handling of the products and goods it promotes on the market. Installations, extensions, replacements of production, control, support &amp; transport equipment. Construction, repair projects &amp; works. Road safety. Specifically, through the Safety Technician, </w:t>
            </w:r>
            <w:r w:rsidRPr="005E02A9">
              <w:rPr>
                <w:rFonts w:ascii="Calibri" w:hAnsi="Calibri" w:cs="Calibri"/>
                <w:sz w:val="20"/>
                <w:szCs w:val="20"/>
              </w:rPr>
              <w:t xml:space="preserve">the </w:t>
            </w:r>
            <w:r w:rsidRPr="005E02A9">
              <w:rPr>
                <w:rFonts w:ascii="Calibri" w:hAnsi="Calibri" w:cs="Calibri"/>
                <w:sz w:val="20"/>
                <w:szCs w:val="20"/>
                <w:lang w:val="en"/>
              </w:rPr>
              <w:t xml:space="preserve">Occupational Doctor and the Managers participating in the </w:t>
            </w:r>
            <w:r w:rsidR="00774E33">
              <w:rPr>
                <w:rFonts w:ascii="Calibri" w:hAnsi="Calibri" w:cs="Calibri"/>
                <w:sz w:val="20"/>
                <w:szCs w:val="20"/>
                <w:lang w:val="en"/>
              </w:rPr>
              <w:t>Occupational</w:t>
            </w:r>
            <w:r w:rsidRPr="005E02A9">
              <w:rPr>
                <w:rFonts w:ascii="Calibri" w:hAnsi="Calibri" w:cs="Calibri"/>
                <w:sz w:val="20"/>
                <w:szCs w:val="20"/>
                <w:lang w:val="en"/>
              </w:rPr>
              <w:t xml:space="preserve"> Health and Safety Management Team, as stated in the respective job descriptions, the company:</w:t>
            </w:r>
          </w:p>
          <w:p w14:paraId="3B7F2FB6"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Takes care of identifying, assessing and controlling risks related to the Health and Safety of employees</w:t>
            </w:r>
          </w:p>
          <w:p w14:paraId="195635E2"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Continuously monitors, implements and complies with the applicable legislation and regulations for the respective fields of application concerning its production and commercial activities, and establishes procedures to comply with the specific requirements. It integrates the resulting requirements into the HSMS &amp; RSMS and the Occupational Risk Assessment Study.</w:t>
            </w:r>
          </w:p>
          <w:p w14:paraId="1B5DCDA2"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Establishes methods to measure, to the extent possible, all the indicators required in HSMS &amp; RSMS and their performance.</w:t>
            </w:r>
          </w:p>
          <w:p w14:paraId="78A691F8"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Defines Programs, in order to launch and systematically monitor the implementation of the actions required to improve the Management Systems.</w:t>
            </w:r>
          </w:p>
          <w:p w14:paraId="293ADA4B" w14:textId="15B0108D"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 xml:space="preserve">It includes the account of the </w:t>
            </w:r>
            <w:r w:rsidR="00774E33">
              <w:rPr>
                <w:rFonts w:ascii="Calibri" w:hAnsi="Calibri" w:cs="Calibri"/>
                <w:sz w:val="20"/>
                <w:szCs w:val="20"/>
                <w:lang w:val="en"/>
              </w:rPr>
              <w:t xml:space="preserve">Occupational </w:t>
            </w:r>
            <w:r w:rsidRPr="005E02A9">
              <w:rPr>
                <w:rFonts w:ascii="Calibri" w:hAnsi="Calibri" w:cs="Calibri"/>
                <w:sz w:val="20"/>
                <w:szCs w:val="20"/>
                <w:lang w:val="en"/>
              </w:rPr>
              <w:t>H</w:t>
            </w:r>
            <w:r w:rsidR="003B0716">
              <w:rPr>
                <w:rFonts w:ascii="Calibri" w:hAnsi="Calibri" w:cs="Calibri"/>
                <w:sz w:val="20"/>
                <w:szCs w:val="20"/>
                <w:lang w:val="en"/>
              </w:rPr>
              <w:t xml:space="preserve">ealth &amp; </w:t>
            </w:r>
            <w:r w:rsidRPr="005E02A9">
              <w:rPr>
                <w:rFonts w:ascii="Calibri" w:hAnsi="Calibri" w:cs="Calibri"/>
                <w:sz w:val="20"/>
                <w:szCs w:val="20"/>
                <w:lang w:val="en"/>
              </w:rPr>
              <w:t>S</w:t>
            </w:r>
            <w:r w:rsidR="003B0716">
              <w:rPr>
                <w:rFonts w:ascii="Calibri" w:hAnsi="Calibri" w:cs="Calibri"/>
                <w:sz w:val="20"/>
                <w:szCs w:val="20"/>
                <w:lang w:val="en"/>
              </w:rPr>
              <w:t>afety</w:t>
            </w:r>
            <w:r w:rsidRPr="005E02A9">
              <w:rPr>
                <w:rFonts w:ascii="Calibri" w:hAnsi="Calibri" w:cs="Calibri"/>
                <w:sz w:val="20"/>
                <w:szCs w:val="20"/>
                <w:lang w:val="en"/>
              </w:rPr>
              <w:t xml:space="preserve"> (</w:t>
            </w:r>
            <w:r w:rsidR="00774E33">
              <w:rPr>
                <w:rFonts w:ascii="Calibri" w:hAnsi="Calibri" w:cs="Calibri"/>
                <w:sz w:val="20"/>
                <w:szCs w:val="20"/>
                <w:lang w:val="en"/>
              </w:rPr>
              <w:t>O</w:t>
            </w:r>
            <w:r w:rsidRPr="005E02A9">
              <w:rPr>
                <w:rFonts w:ascii="Calibri" w:hAnsi="Calibri" w:cs="Calibri"/>
                <w:sz w:val="20"/>
                <w:szCs w:val="20"/>
                <w:lang w:val="en"/>
              </w:rPr>
              <w:t>HS) and R</w:t>
            </w:r>
            <w:r w:rsidR="003B0716">
              <w:rPr>
                <w:rFonts w:ascii="Calibri" w:hAnsi="Calibri" w:cs="Calibri"/>
                <w:sz w:val="20"/>
                <w:szCs w:val="20"/>
                <w:lang w:val="en"/>
              </w:rPr>
              <w:t xml:space="preserve">oad </w:t>
            </w:r>
            <w:r w:rsidRPr="005E02A9">
              <w:rPr>
                <w:rFonts w:ascii="Calibri" w:hAnsi="Calibri" w:cs="Calibri"/>
                <w:sz w:val="20"/>
                <w:szCs w:val="20"/>
                <w:lang w:val="en"/>
              </w:rPr>
              <w:t>S</w:t>
            </w:r>
            <w:r w:rsidR="003B0716">
              <w:rPr>
                <w:rFonts w:ascii="Calibri" w:hAnsi="Calibri" w:cs="Calibri"/>
                <w:sz w:val="20"/>
                <w:szCs w:val="20"/>
                <w:lang w:val="en"/>
              </w:rPr>
              <w:t>afety (RS)</w:t>
            </w:r>
            <w:r w:rsidRPr="005E02A9">
              <w:rPr>
                <w:rFonts w:ascii="Calibri" w:hAnsi="Calibri" w:cs="Calibri"/>
                <w:sz w:val="20"/>
                <w:szCs w:val="20"/>
                <w:lang w:val="en"/>
              </w:rPr>
              <w:t xml:space="preserve"> objectives and the course of their achievement, it sets the issues, revisions and new data during the decision-making process in the Management Reviews on an annual basis and whenever deemed necessary.</w:t>
            </w:r>
          </w:p>
          <w:p w14:paraId="51D54B2F" w14:textId="1DCDA172"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 xml:space="preserve">Establishes internal communication channels in the company, so that the staff is aware of </w:t>
            </w:r>
            <w:r w:rsidR="00774E33">
              <w:rPr>
                <w:rFonts w:ascii="Calibri" w:hAnsi="Calibri" w:cs="Calibri"/>
                <w:sz w:val="20"/>
                <w:szCs w:val="20"/>
                <w:lang w:val="en"/>
              </w:rPr>
              <w:t>O</w:t>
            </w:r>
            <w:r w:rsidRPr="005E02A9">
              <w:rPr>
                <w:rFonts w:ascii="Calibri" w:hAnsi="Calibri" w:cs="Calibri"/>
                <w:sz w:val="20"/>
                <w:szCs w:val="20"/>
                <w:lang w:val="en"/>
              </w:rPr>
              <w:t xml:space="preserve">HS and RS issues and actively participates in the implementation of </w:t>
            </w:r>
            <w:r w:rsidR="00774E33">
              <w:rPr>
                <w:rFonts w:ascii="Calibri" w:hAnsi="Calibri" w:cs="Calibri"/>
                <w:sz w:val="20"/>
                <w:szCs w:val="20"/>
                <w:lang w:val="en"/>
              </w:rPr>
              <w:t>O</w:t>
            </w:r>
            <w:r w:rsidRPr="005E02A9">
              <w:rPr>
                <w:rFonts w:ascii="Calibri" w:hAnsi="Calibri" w:cs="Calibri"/>
                <w:sz w:val="20"/>
                <w:szCs w:val="20"/>
                <w:lang w:val="en"/>
              </w:rPr>
              <w:t>HSMS &amp; RSMS.</w:t>
            </w:r>
          </w:p>
          <w:p w14:paraId="7EB21F0A"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Ensures communication with other stakeholders so that there is a creative exchange of information and the cultivation of relationships of mutual trust.</w:t>
            </w:r>
          </w:p>
          <w:p w14:paraId="125DC217" w14:textId="77777777" w:rsidR="005E02A9" w:rsidRPr="005E02A9" w:rsidRDefault="005E02A9" w:rsidP="005E02A9">
            <w:pPr>
              <w:numPr>
                <w:ilvl w:val="0"/>
                <w:numId w:val="14"/>
              </w:numPr>
              <w:spacing w:after="0" w:line="240" w:lineRule="auto"/>
              <w:ind w:left="174" w:hanging="239"/>
              <w:rPr>
                <w:rFonts w:ascii="Calibri" w:hAnsi="Calibri" w:cs="Calibri"/>
                <w:sz w:val="20"/>
                <w:szCs w:val="20"/>
              </w:rPr>
            </w:pPr>
            <w:r w:rsidRPr="005E02A9">
              <w:rPr>
                <w:rFonts w:ascii="Calibri" w:hAnsi="Calibri" w:cs="Calibri"/>
                <w:sz w:val="20"/>
                <w:szCs w:val="20"/>
                <w:lang w:val="en"/>
              </w:rPr>
              <w:t>Communicates its policy not only to the people (staff) working in the organization but also to those working on its behalf.</w:t>
            </w:r>
          </w:p>
          <w:p w14:paraId="31EB9EC9" w14:textId="77777777" w:rsidR="005E02A9" w:rsidRPr="005E02A9" w:rsidRDefault="005E02A9" w:rsidP="005E02A9">
            <w:pPr>
              <w:spacing w:after="0" w:line="240" w:lineRule="auto"/>
              <w:rPr>
                <w:rFonts w:ascii="Calibri" w:hAnsi="Calibri" w:cs="Calibri"/>
                <w:sz w:val="20"/>
                <w:szCs w:val="20"/>
                <w:lang w:val="en"/>
              </w:rPr>
            </w:pPr>
            <w:r w:rsidRPr="005E02A9">
              <w:rPr>
                <w:rFonts w:ascii="Calibri" w:hAnsi="Calibri" w:cs="Calibri"/>
                <w:sz w:val="20"/>
                <w:szCs w:val="20"/>
                <w:lang w:val="en"/>
              </w:rPr>
              <w:t xml:space="preserve">Corporate responsibility starts from within a company that respects and supports the development of human resources, continuous improvement &amp; prevention in order to achieve the goals set. </w:t>
            </w:r>
          </w:p>
          <w:p w14:paraId="373741DD" w14:textId="77777777" w:rsidR="005E02A9" w:rsidRPr="005E02A9" w:rsidRDefault="005E02A9" w:rsidP="005E02A9">
            <w:pPr>
              <w:spacing w:after="0" w:line="240" w:lineRule="auto"/>
              <w:jc w:val="center"/>
              <w:rPr>
                <w:rFonts w:ascii="Calibri" w:hAnsi="Calibri" w:cs="Calibri"/>
                <w:sz w:val="20"/>
                <w:szCs w:val="20"/>
                <w:u w:val="single"/>
                <w:lang w:val="en"/>
              </w:rPr>
            </w:pPr>
            <w:r w:rsidRPr="005E02A9">
              <w:rPr>
                <w:rFonts w:ascii="Calibri" w:hAnsi="Calibri" w:cs="Calibri"/>
                <w:sz w:val="20"/>
                <w:szCs w:val="20"/>
                <w:u w:val="single"/>
                <w:lang w:val="en"/>
              </w:rPr>
              <w:t>It has permanent Goals &amp; Objectives and the top Management is committed to:</w:t>
            </w:r>
          </w:p>
          <w:p w14:paraId="5DE681A4" w14:textId="74B750FA"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 xml:space="preserve">The installation and systematic implementation of </w:t>
            </w:r>
            <w:r w:rsidR="00774E33">
              <w:rPr>
                <w:rFonts w:ascii="Calibri" w:hAnsi="Calibri" w:cs="Calibri"/>
                <w:sz w:val="20"/>
                <w:szCs w:val="20"/>
                <w:lang w:val="en"/>
              </w:rPr>
              <w:t>O</w:t>
            </w:r>
            <w:r w:rsidRPr="005E02A9">
              <w:rPr>
                <w:rFonts w:ascii="Calibri" w:hAnsi="Calibri" w:cs="Calibri"/>
                <w:sz w:val="20"/>
                <w:szCs w:val="20"/>
                <w:lang w:val="en"/>
              </w:rPr>
              <w:t>HSMS &amp; RSMS according to the requirements of the ISO45001 &amp; ISO39001 standards.</w:t>
            </w:r>
          </w:p>
          <w:p w14:paraId="6F085FEB" w14:textId="77777777"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The development, implementation and consolidation of the corporate culture and its diffusion in all the sectors involved.</w:t>
            </w:r>
          </w:p>
          <w:p w14:paraId="2F54B76E" w14:textId="77777777"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The continuous improvement of health &amp; safety conditions at work in a systematic way and</w:t>
            </w:r>
          </w:p>
          <w:p w14:paraId="600DB094" w14:textId="77777777"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The prevention of Health and Safety of employees</w:t>
            </w:r>
          </w:p>
          <w:p w14:paraId="083C11C2" w14:textId="77777777"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Encourage the consultation of staff at all levels of management and to protect them in all cases when they raise health and safety issues.</w:t>
            </w:r>
          </w:p>
          <w:p w14:paraId="0381F9DA" w14:textId="59D99C3F" w:rsidR="005E02A9" w:rsidRPr="005E02A9" w:rsidRDefault="005E02A9" w:rsidP="005E02A9">
            <w:pPr>
              <w:numPr>
                <w:ilvl w:val="0"/>
                <w:numId w:val="15"/>
              </w:numPr>
              <w:spacing w:after="0" w:line="240" w:lineRule="auto"/>
              <w:ind w:left="174" w:hanging="174"/>
              <w:rPr>
                <w:rFonts w:ascii="Calibri" w:hAnsi="Calibri" w:cs="Calibri"/>
                <w:sz w:val="20"/>
                <w:szCs w:val="20"/>
              </w:rPr>
            </w:pPr>
            <w:r w:rsidRPr="005E02A9">
              <w:rPr>
                <w:rFonts w:ascii="Calibri" w:hAnsi="Calibri" w:cs="Calibri"/>
                <w:sz w:val="20"/>
                <w:szCs w:val="20"/>
                <w:lang w:val="en"/>
              </w:rPr>
              <w:t>The establishment of measurable indicators and goals, the achievement of which is reviewed on an annual basis and whenever required and deemed necessary for the purpose of continuous improvement. Takes into account any significant changes in the organization, legislation or business environment and revises objectives and policy accordingly.</w:t>
            </w:r>
          </w:p>
          <w:p w14:paraId="2C5AC06A" w14:textId="77777777" w:rsidR="005E02A9" w:rsidRPr="005E02A9" w:rsidRDefault="005E02A9" w:rsidP="005E02A9">
            <w:pPr>
              <w:spacing w:after="0" w:line="240" w:lineRule="auto"/>
              <w:rPr>
                <w:rFonts w:ascii="Calibri" w:hAnsi="Calibri" w:cs="Calibri"/>
                <w:sz w:val="20"/>
                <w:szCs w:val="20"/>
              </w:rPr>
            </w:pPr>
            <w:r w:rsidRPr="005E02A9">
              <w:rPr>
                <w:rFonts w:ascii="Calibri" w:hAnsi="Calibri" w:cs="Calibri"/>
                <w:sz w:val="20"/>
                <w:szCs w:val="20"/>
              </w:rPr>
              <w:t>The Goals are achieved through:</w:t>
            </w:r>
          </w:p>
          <w:p w14:paraId="30948065" w14:textId="77777777" w:rsidR="005E02A9" w:rsidRPr="005E02A9" w:rsidRDefault="005E02A9" w:rsidP="005E02A9">
            <w:pPr>
              <w:numPr>
                <w:ilvl w:val="0"/>
                <w:numId w:val="16"/>
              </w:numPr>
              <w:spacing w:after="0" w:line="240" w:lineRule="auto"/>
              <w:ind w:left="175" w:hanging="175"/>
              <w:rPr>
                <w:rFonts w:ascii="Calibri" w:hAnsi="Calibri" w:cs="Calibri"/>
                <w:sz w:val="20"/>
                <w:szCs w:val="20"/>
              </w:rPr>
            </w:pPr>
            <w:r w:rsidRPr="005E02A9">
              <w:rPr>
                <w:rFonts w:ascii="Calibri" w:hAnsi="Calibri" w:cs="Calibri"/>
                <w:sz w:val="20"/>
                <w:szCs w:val="20"/>
                <w:lang w:val="en"/>
              </w:rPr>
              <w:t>the installation of appropriate protective devices</w:t>
            </w:r>
          </w:p>
          <w:p w14:paraId="4C0E6D05" w14:textId="77777777" w:rsidR="005E02A9" w:rsidRPr="005E02A9" w:rsidRDefault="005E02A9" w:rsidP="005E02A9">
            <w:pPr>
              <w:numPr>
                <w:ilvl w:val="0"/>
                <w:numId w:val="16"/>
              </w:numPr>
              <w:spacing w:after="0" w:line="240" w:lineRule="auto"/>
              <w:ind w:left="175" w:hanging="175"/>
              <w:rPr>
                <w:rFonts w:ascii="Calibri" w:hAnsi="Calibri" w:cs="Calibri"/>
                <w:sz w:val="20"/>
                <w:szCs w:val="20"/>
              </w:rPr>
            </w:pPr>
            <w:r w:rsidRPr="005E02A9">
              <w:rPr>
                <w:rFonts w:ascii="Calibri" w:hAnsi="Calibri" w:cs="Calibri"/>
                <w:sz w:val="20"/>
                <w:szCs w:val="20"/>
                <w:lang w:val="en"/>
              </w:rPr>
              <w:t>the use of appropriate Personal Protective Equipment by the staff</w:t>
            </w:r>
          </w:p>
          <w:p w14:paraId="607939D9" w14:textId="77777777" w:rsidR="005E02A9" w:rsidRPr="005E02A9" w:rsidRDefault="005E02A9" w:rsidP="005E02A9">
            <w:pPr>
              <w:numPr>
                <w:ilvl w:val="0"/>
                <w:numId w:val="16"/>
              </w:numPr>
              <w:spacing w:after="0" w:line="240" w:lineRule="auto"/>
              <w:ind w:left="175" w:hanging="175"/>
              <w:rPr>
                <w:rFonts w:ascii="Calibri" w:hAnsi="Calibri" w:cs="Calibri"/>
                <w:sz w:val="20"/>
                <w:szCs w:val="20"/>
              </w:rPr>
            </w:pPr>
            <w:r w:rsidRPr="005E02A9">
              <w:rPr>
                <w:rFonts w:ascii="Calibri" w:hAnsi="Calibri" w:cs="Calibri"/>
                <w:sz w:val="20"/>
                <w:szCs w:val="20"/>
                <w:lang w:val="en"/>
              </w:rPr>
              <w:t>the organization of work and the provision of appropriate infrastructure &amp; work environment</w:t>
            </w:r>
          </w:p>
          <w:p w14:paraId="25AD1C4A" w14:textId="77777777" w:rsidR="005E02A9" w:rsidRPr="005E02A9" w:rsidRDefault="005E02A9" w:rsidP="005E02A9">
            <w:pPr>
              <w:numPr>
                <w:ilvl w:val="0"/>
                <w:numId w:val="16"/>
              </w:numPr>
              <w:spacing w:after="0" w:line="240" w:lineRule="auto"/>
              <w:ind w:left="175" w:hanging="175"/>
              <w:rPr>
                <w:rFonts w:ascii="Calibri" w:hAnsi="Calibri" w:cs="Calibri"/>
                <w:sz w:val="20"/>
                <w:szCs w:val="20"/>
              </w:rPr>
            </w:pPr>
            <w:r w:rsidRPr="005E02A9">
              <w:rPr>
                <w:rFonts w:ascii="Calibri" w:hAnsi="Calibri" w:cs="Calibri"/>
                <w:sz w:val="20"/>
                <w:szCs w:val="20"/>
                <w:lang w:val="en"/>
              </w:rPr>
              <w:t>continuous training and information at all administrative levels and for all interested parties</w:t>
            </w:r>
          </w:p>
          <w:p w14:paraId="702F6F6A" w14:textId="3E29CBD3" w:rsidR="005E02A9" w:rsidRPr="005E02A9" w:rsidRDefault="005E02A9" w:rsidP="005E02A9">
            <w:pPr>
              <w:numPr>
                <w:ilvl w:val="0"/>
                <w:numId w:val="12"/>
              </w:numPr>
              <w:tabs>
                <w:tab w:val="clear" w:pos="283"/>
              </w:tabs>
              <w:spacing w:after="0" w:line="240" w:lineRule="auto"/>
              <w:ind w:left="134" w:hanging="134"/>
              <w:jc w:val="both"/>
              <w:rPr>
                <w:rFonts w:ascii="Calibri" w:eastAsia="Times New Roman" w:hAnsi="Calibri" w:cs="Calibri"/>
                <w:kern w:val="0"/>
                <w:sz w:val="20"/>
                <w:szCs w:val="20"/>
                <w:lang w:eastAsia="el-GR"/>
                <w14:ligatures w14:val="none"/>
              </w:rPr>
            </w:pPr>
            <w:r w:rsidRPr="005E02A9">
              <w:rPr>
                <w:rFonts w:ascii="Calibri" w:hAnsi="Calibri" w:cs="Calibri"/>
                <w:sz w:val="20"/>
                <w:szCs w:val="20"/>
                <w:lang w:val="en"/>
              </w:rPr>
              <w:t>the detailed recording of accidents &amp; near misses, the determination and evaluation of relevant parameters and the taking of necessary corrective / preventive measures.</w:t>
            </w:r>
            <w:r w:rsidRPr="005E02A9">
              <w:rPr>
                <w:rFonts w:ascii="Calibri" w:eastAsia="Times New Roman" w:hAnsi="Calibri" w:cs="Calibri"/>
                <w:noProof/>
                <w:kern w:val="0"/>
                <w:sz w:val="24"/>
                <w:lang w:eastAsia="el-GR"/>
                <w14:ligatures w14:val="none"/>
              </w:rPr>
              <w:t xml:space="preserve"> </w:t>
            </w:r>
          </w:p>
          <w:p w14:paraId="25919DFA" w14:textId="77777777" w:rsidR="005E02A9" w:rsidRPr="00A90F2F" w:rsidRDefault="005E02A9" w:rsidP="005E02A9">
            <w:pPr>
              <w:spacing w:after="0" w:line="240" w:lineRule="auto"/>
              <w:ind w:left="-265" w:firstLine="265"/>
              <w:jc w:val="center"/>
              <w:rPr>
                <w:rFonts w:ascii="Calibri" w:eastAsia="Times New Roman" w:hAnsi="Calibri" w:cs="Calibri"/>
                <w:kern w:val="0"/>
                <w:sz w:val="21"/>
                <w:szCs w:val="21"/>
                <w:u w:val="single"/>
                <w:lang w:eastAsia="el-GR"/>
                <w14:ligatures w14:val="none"/>
              </w:rPr>
            </w:pPr>
            <w:r w:rsidRPr="00A90F2F">
              <w:rPr>
                <w:rFonts w:ascii="Calibri" w:eastAsia="Times New Roman" w:hAnsi="Calibri" w:cs="Calibri"/>
                <w:kern w:val="0"/>
                <w:sz w:val="21"/>
                <w:szCs w:val="21"/>
                <w:u w:val="single"/>
                <w:lang w:eastAsia="el-GR"/>
                <w14:ligatures w14:val="none"/>
              </w:rPr>
              <w:t>CEO</w:t>
            </w:r>
          </w:p>
          <w:p w14:paraId="67FA3803" w14:textId="5E663F95" w:rsidR="005E02A9" w:rsidRPr="005E02A9" w:rsidRDefault="005E02A9" w:rsidP="005E02A9">
            <w:pPr>
              <w:spacing w:after="0" w:line="240" w:lineRule="auto"/>
              <w:ind w:left="-265" w:firstLine="265"/>
              <w:jc w:val="center"/>
              <w:rPr>
                <w:rFonts w:ascii="Calibri" w:eastAsia="Times New Roman" w:hAnsi="Calibri" w:cs="Calibri"/>
                <w:kern w:val="0"/>
                <w:sz w:val="21"/>
                <w:szCs w:val="21"/>
                <w:u w:val="single"/>
                <w:lang w:eastAsia="el-GR"/>
                <w14:ligatures w14:val="none"/>
              </w:rPr>
            </w:pPr>
            <w:r w:rsidRPr="00A90F2F">
              <w:rPr>
                <w:rFonts w:ascii="Tahoma" w:eastAsia="Times New Roman" w:hAnsi="Tahoma" w:cs="Times New Roman"/>
                <w:noProof/>
                <w:kern w:val="0"/>
                <w:sz w:val="24"/>
                <w:lang w:val="el-GR" w:eastAsia="el-GR"/>
                <w14:ligatures w14:val="none"/>
              </w:rPr>
              <w:drawing>
                <wp:inline distT="0" distB="0" distL="0" distR="0" wp14:anchorId="13A22713" wp14:editId="4EC1C59D">
                  <wp:extent cx="1348740" cy="289560"/>
                  <wp:effectExtent l="0" t="0" r="3810" b="0"/>
                  <wp:docPr id="8398176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t="22223"/>
                          <a:stretch>
                            <a:fillRect/>
                          </a:stretch>
                        </pic:blipFill>
                        <pic:spPr bwMode="auto">
                          <a:xfrm>
                            <a:off x="0" y="0"/>
                            <a:ext cx="1348740" cy="289560"/>
                          </a:xfrm>
                          <a:prstGeom prst="rect">
                            <a:avLst/>
                          </a:prstGeom>
                          <a:noFill/>
                          <a:ln>
                            <a:noFill/>
                          </a:ln>
                        </pic:spPr>
                      </pic:pic>
                    </a:graphicData>
                  </a:graphic>
                </wp:inline>
              </w:drawing>
            </w:r>
          </w:p>
        </w:tc>
      </w:tr>
    </w:tbl>
    <w:p w14:paraId="3A0438FE" w14:textId="77777777" w:rsidR="00A90F2F" w:rsidRPr="00A90F2F" w:rsidRDefault="00A90F2F" w:rsidP="00A90F2F"/>
    <w:sectPr w:rsidR="00A90F2F" w:rsidRPr="00A90F2F" w:rsidSect="003E357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2EAC5" w14:textId="77777777" w:rsidR="003E357A" w:rsidRDefault="003E357A" w:rsidP="00A90F2F">
      <w:pPr>
        <w:spacing w:after="0" w:line="240" w:lineRule="auto"/>
      </w:pPr>
      <w:r>
        <w:separator/>
      </w:r>
    </w:p>
  </w:endnote>
  <w:endnote w:type="continuationSeparator" w:id="0">
    <w:p w14:paraId="7AEF8647" w14:textId="77777777" w:rsidR="003E357A" w:rsidRDefault="003E357A" w:rsidP="00A9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55F2" w14:textId="77777777" w:rsidR="00B14462" w:rsidRDefault="00B14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BF46" w14:textId="77777777" w:rsidR="00B14462" w:rsidRDefault="00B14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1385" w14:textId="77777777" w:rsidR="00B14462" w:rsidRDefault="00B14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1572E" w14:textId="77777777" w:rsidR="003E357A" w:rsidRDefault="003E357A" w:rsidP="00A90F2F">
      <w:pPr>
        <w:spacing w:after="0" w:line="240" w:lineRule="auto"/>
      </w:pPr>
      <w:r>
        <w:separator/>
      </w:r>
    </w:p>
  </w:footnote>
  <w:footnote w:type="continuationSeparator" w:id="0">
    <w:p w14:paraId="7BE7EECD" w14:textId="77777777" w:rsidR="003E357A" w:rsidRDefault="003E357A" w:rsidP="00A9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17A4" w14:textId="77777777" w:rsidR="00B14462" w:rsidRDefault="00B14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1062" w:type="dxa"/>
      <w:tblLayout w:type="fixed"/>
      <w:tblLook w:val="0000" w:firstRow="0" w:lastRow="0" w:firstColumn="0" w:lastColumn="0" w:noHBand="0" w:noVBand="0"/>
    </w:tblPr>
    <w:tblGrid>
      <w:gridCol w:w="2552"/>
      <w:gridCol w:w="5812"/>
      <w:gridCol w:w="2409"/>
    </w:tblGrid>
    <w:tr w:rsidR="00A90F2F" w:rsidRPr="00A90F2F" w14:paraId="2D1BCF9B" w14:textId="77777777" w:rsidTr="00A90F2F">
      <w:trPr>
        <w:cantSplit/>
        <w:trHeight w:val="843"/>
      </w:trPr>
      <w:tc>
        <w:tcPr>
          <w:tcW w:w="2552" w:type="dxa"/>
          <w:vAlign w:val="center"/>
        </w:tcPr>
        <w:p w14:paraId="697622BB" w14:textId="0AE4DCE3" w:rsidR="00A90F2F" w:rsidRPr="00A90F2F" w:rsidRDefault="003B0716" w:rsidP="00A90F2F">
          <w:pPr>
            <w:tabs>
              <w:tab w:val="center" w:pos="4153"/>
              <w:tab w:val="right" w:pos="8306"/>
            </w:tabs>
            <w:spacing w:after="200" w:line="276" w:lineRule="auto"/>
            <w:jc w:val="center"/>
            <w:rPr>
              <w:rFonts w:ascii="Tahoma" w:eastAsia="Times New Roman" w:hAnsi="Tahoma" w:cs="Times New Roman"/>
              <w:kern w:val="0"/>
              <w:sz w:val="12"/>
              <w:lang w:val="el-GR" w:eastAsia="el-GR"/>
              <w14:ligatures w14:val="none"/>
            </w:rPr>
          </w:pPr>
          <w:r w:rsidRPr="006155A5">
            <w:rPr>
              <w:rFonts w:ascii="Tahoma" w:hAnsi="Tahoma"/>
              <w:noProof/>
              <w:sz w:val="12"/>
              <w:lang w:val="el-GR"/>
            </w:rPr>
            <w:drawing>
              <wp:inline distT="0" distB="0" distL="0" distR="0" wp14:anchorId="11F67CAB" wp14:editId="0F675998">
                <wp:extent cx="1483360" cy="423545"/>
                <wp:effectExtent l="0" t="0" r="2540" b="0"/>
                <wp:docPr id="1884884415" name="Picture 1" descr="Περιγραφή: G_E Group Log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G_E Group Log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423545"/>
                        </a:xfrm>
                        <a:prstGeom prst="rect">
                          <a:avLst/>
                        </a:prstGeom>
                        <a:noFill/>
                        <a:ln>
                          <a:noFill/>
                        </a:ln>
                      </pic:spPr>
                    </pic:pic>
                  </a:graphicData>
                </a:graphic>
              </wp:inline>
            </w:drawing>
          </w:r>
        </w:p>
      </w:tc>
      <w:tc>
        <w:tcPr>
          <w:tcW w:w="5812" w:type="dxa"/>
          <w:vAlign w:val="center"/>
        </w:tcPr>
        <w:p w14:paraId="741F52A5" w14:textId="77777777" w:rsidR="00A90F2F" w:rsidRPr="00A90F2F" w:rsidRDefault="00A90F2F" w:rsidP="00A90F2F">
          <w:pPr>
            <w:tabs>
              <w:tab w:val="center" w:pos="4153"/>
              <w:tab w:val="right" w:pos="8306"/>
            </w:tabs>
            <w:spacing w:after="200" w:line="276" w:lineRule="auto"/>
            <w:jc w:val="center"/>
            <w:rPr>
              <w:rFonts w:ascii="Tahoma" w:eastAsia="Times New Roman" w:hAnsi="Tahoma" w:cs="Tahoma"/>
              <w:b/>
              <w:kern w:val="0"/>
              <w:lang w:eastAsia="el-GR"/>
              <w14:ligatures w14:val="none"/>
            </w:rPr>
          </w:pPr>
        </w:p>
        <w:p w14:paraId="70B287AA" w14:textId="6E0DEF0E" w:rsidR="00A90F2F" w:rsidRPr="00A90F2F" w:rsidRDefault="00B14462" w:rsidP="00A90F2F">
          <w:pPr>
            <w:tabs>
              <w:tab w:val="center" w:pos="4153"/>
              <w:tab w:val="right" w:pos="8306"/>
            </w:tabs>
            <w:spacing w:after="200" w:line="276" w:lineRule="auto"/>
            <w:jc w:val="center"/>
            <w:rPr>
              <w:rFonts w:ascii="Tahoma" w:eastAsia="Times New Roman" w:hAnsi="Tahoma" w:cs="Tahoma"/>
              <w:b/>
              <w:kern w:val="0"/>
              <w:lang w:eastAsia="el-GR"/>
              <w14:ligatures w14:val="none"/>
            </w:rPr>
          </w:pPr>
          <w:r>
            <w:rPr>
              <w:rFonts w:ascii="Tahoma" w:hAnsi="Tahoma" w:cs="Tahoma"/>
              <w:b/>
            </w:rPr>
            <w:t xml:space="preserve">STATEMENT </w:t>
          </w:r>
          <w:r w:rsidR="009C087A">
            <w:rPr>
              <w:rFonts w:ascii="Tahoma" w:hAnsi="Tahoma" w:cs="Tahoma"/>
              <w:b/>
            </w:rPr>
            <w:t xml:space="preserve">OCCUPATIONAL </w:t>
          </w:r>
          <w:r w:rsidR="005E02A9" w:rsidRPr="00D26425">
            <w:rPr>
              <w:rFonts w:ascii="Tahoma" w:hAnsi="Tahoma" w:cs="Tahoma"/>
              <w:b/>
            </w:rPr>
            <w:t>HEALTH AND SAFETY POLICY</w:t>
          </w:r>
        </w:p>
      </w:tc>
      <w:tc>
        <w:tcPr>
          <w:tcW w:w="2409" w:type="dxa"/>
          <w:vAlign w:val="center"/>
        </w:tcPr>
        <w:p w14:paraId="0C0B6B30" w14:textId="77777777" w:rsidR="00A90F2F" w:rsidRPr="00A90F2F" w:rsidRDefault="00A90F2F" w:rsidP="00A90F2F">
          <w:pPr>
            <w:tabs>
              <w:tab w:val="center" w:pos="4153"/>
              <w:tab w:val="right" w:pos="8306"/>
            </w:tabs>
            <w:spacing w:after="200" w:line="276" w:lineRule="auto"/>
            <w:jc w:val="center"/>
            <w:rPr>
              <w:rFonts w:ascii="Tahoma" w:eastAsia="Times New Roman" w:hAnsi="Tahoma" w:cs="Times New Roman"/>
              <w:kern w:val="0"/>
              <w:sz w:val="14"/>
              <w:lang w:val="el-GR" w:eastAsia="el-GR"/>
              <w14:ligatures w14:val="none"/>
            </w:rPr>
          </w:pPr>
          <w:r w:rsidRPr="00A90F2F">
            <w:rPr>
              <w:rFonts w:ascii="Tahoma" w:eastAsia="Times New Roman" w:hAnsi="Tahoma" w:cs="Times New Roman"/>
              <w:kern w:val="0"/>
              <w:sz w:val="14"/>
              <w:lang w:eastAsia="el-GR"/>
              <w14:ligatures w14:val="none"/>
            </w:rPr>
            <w:t>Version</w:t>
          </w:r>
          <w:r w:rsidRPr="00A90F2F">
            <w:rPr>
              <w:rFonts w:ascii="Tahoma" w:eastAsia="Times New Roman" w:hAnsi="Tahoma" w:cs="Times New Roman"/>
              <w:kern w:val="0"/>
              <w:sz w:val="14"/>
              <w:lang w:val="el-GR" w:eastAsia="el-GR"/>
              <w14:ligatures w14:val="none"/>
            </w:rPr>
            <w:t xml:space="preserve"> 11</w:t>
          </w:r>
          <w:proofErr w:type="spellStart"/>
          <w:r w:rsidRPr="00A90F2F">
            <w:rPr>
              <w:rFonts w:ascii="Tahoma" w:eastAsia="Times New Roman" w:hAnsi="Tahoma" w:cs="Times New Roman"/>
              <w:kern w:val="0"/>
              <w:sz w:val="14"/>
              <w:lang w:eastAsia="el-GR"/>
              <w14:ligatures w14:val="none"/>
            </w:rPr>
            <w:t>th</w:t>
          </w:r>
          <w:proofErr w:type="spellEnd"/>
          <w:r w:rsidRPr="00A90F2F">
            <w:rPr>
              <w:rFonts w:ascii="Tahoma" w:eastAsia="Times New Roman" w:hAnsi="Tahoma" w:cs="Times New Roman"/>
              <w:kern w:val="0"/>
              <w:sz w:val="14"/>
              <w:lang w:val="el-GR" w:eastAsia="el-GR"/>
              <w14:ligatures w14:val="none"/>
            </w:rPr>
            <w:t xml:space="preserve"> </w:t>
          </w:r>
          <w:r w:rsidRPr="00A90F2F">
            <w:rPr>
              <w:rFonts w:ascii="Tahoma" w:eastAsia="Times New Roman" w:hAnsi="Tahoma" w:cs="Times New Roman"/>
              <w:kern w:val="0"/>
              <w:sz w:val="14"/>
              <w:lang w:eastAsia="el-GR"/>
              <w14:ligatures w14:val="none"/>
            </w:rPr>
            <w:t>of</w:t>
          </w:r>
          <w:r w:rsidRPr="00A90F2F">
            <w:rPr>
              <w:rFonts w:ascii="Tahoma" w:eastAsia="Times New Roman" w:hAnsi="Tahoma" w:cs="Times New Roman"/>
              <w:kern w:val="0"/>
              <w:sz w:val="14"/>
              <w:lang w:val="el-GR" w:eastAsia="el-GR"/>
              <w14:ligatures w14:val="none"/>
            </w:rPr>
            <w:t xml:space="preserve"> 18/5/2023</w:t>
          </w:r>
        </w:p>
      </w:tc>
    </w:tr>
  </w:tbl>
  <w:p w14:paraId="72DCFD63" w14:textId="77777777" w:rsidR="00A90F2F" w:rsidRDefault="00A90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AC76" w14:textId="77777777" w:rsidR="00B14462" w:rsidRDefault="00B14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0033"/>
    <w:multiLevelType w:val="hybridMultilevel"/>
    <w:tmpl w:val="A6CC82C6"/>
    <w:lvl w:ilvl="0" w:tplc="FFFFFFFF">
      <w:start w:val="1"/>
      <w:numFmt w:val="bullet"/>
      <w:lvlText w:val=""/>
      <w:lvlJc w:val="left"/>
      <w:pPr>
        <w:tabs>
          <w:tab w:val="num" w:pos="283"/>
        </w:tabs>
        <w:ind w:left="283" w:hanging="283"/>
      </w:pPr>
      <w:rPr>
        <w:rFonts w:ascii="Symbol" w:hAnsi="Symbol"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061B6"/>
    <w:multiLevelType w:val="hybridMultilevel"/>
    <w:tmpl w:val="4D16DD5C"/>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 w15:restartNumberingAfterBreak="0">
    <w:nsid w:val="0E5C093C"/>
    <w:multiLevelType w:val="hybridMultilevel"/>
    <w:tmpl w:val="E346A24A"/>
    <w:lvl w:ilvl="0" w:tplc="FFFFFFFF">
      <w:start w:val="1"/>
      <w:numFmt w:val="bullet"/>
      <w:lvlText w:val=""/>
      <w:lvlJc w:val="left"/>
      <w:pPr>
        <w:ind w:left="1003" w:hanging="360"/>
      </w:pPr>
      <w:rPr>
        <w:rFonts w:ascii="Wingdings" w:hAnsi="Wingdings"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3" w15:restartNumberingAfterBreak="0">
    <w:nsid w:val="143B426D"/>
    <w:multiLevelType w:val="hybridMultilevel"/>
    <w:tmpl w:val="363AA6E6"/>
    <w:lvl w:ilvl="0" w:tplc="0408000D">
      <w:start w:val="1"/>
      <w:numFmt w:val="bullet"/>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4" w15:restartNumberingAfterBreak="0">
    <w:nsid w:val="19743C9E"/>
    <w:multiLevelType w:val="hybridMultilevel"/>
    <w:tmpl w:val="6D4EA8C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7607B"/>
    <w:multiLevelType w:val="hybridMultilevel"/>
    <w:tmpl w:val="DC0E888A"/>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72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1B5E28"/>
    <w:multiLevelType w:val="hybridMultilevel"/>
    <w:tmpl w:val="C1CA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3211F"/>
    <w:multiLevelType w:val="hybridMultilevel"/>
    <w:tmpl w:val="8B407FCA"/>
    <w:lvl w:ilvl="0" w:tplc="FFFFFFFF">
      <w:start w:val="1"/>
      <w:numFmt w:val="bullet"/>
      <w:lvlText w:val=""/>
      <w:lvlJc w:val="left"/>
      <w:pPr>
        <w:ind w:left="1100" w:hanging="360"/>
      </w:pPr>
      <w:rPr>
        <w:rFonts w:ascii="Wingdings" w:hAnsi="Wingdings" w:hint="default"/>
      </w:rPr>
    </w:lvl>
    <w:lvl w:ilvl="1" w:tplc="FFFFFFFF" w:tentative="1">
      <w:start w:val="1"/>
      <w:numFmt w:val="bullet"/>
      <w:lvlText w:val="o"/>
      <w:lvlJc w:val="left"/>
      <w:pPr>
        <w:ind w:left="1820" w:hanging="360"/>
      </w:pPr>
      <w:rPr>
        <w:rFonts w:ascii="Courier New" w:hAnsi="Courier New" w:cs="Courier New" w:hint="default"/>
      </w:rPr>
    </w:lvl>
    <w:lvl w:ilvl="2" w:tplc="FFFFFFFF" w:tentative="1">
      <w:start w:val="1"/>
      <w:numFmt w:val="bullet"/>
      <w:lvlText w:val=""/>
      <w:lvlJc w:val="left"/>
      <w:pPr>
        <w:ind w:left="2540" w:hanging="360"/>
      </w:pPr>
      <w:rPr>
        <w:rFonts w:ascii="Wingdings" w:hAnsi="Wingdings" w:hint="default"/>
      </w:rPr>
    </w:lvl>
    <w:lvl w:ilvl="3" w:tplc="FFFFFFFF" w:tentative="1">
      <w:start w:val="1"/>
      <w:numFmt w:val="bullet"/>
      <w:lvlText w:val=""/>
      <w:lvlJc w:val="left"/>
      <w:pPr>
        <w:ind w:left="3260" w:hanging="360"/>
      </w:pPr>
      <w:rPr>
        <w:rFonts w:ascii="Symbol" w:hAnsi="Symbol" w:hint="default"/>
      </w:rPr>
    </w:lvl>
    <w:lvl w:ilvl="4" w:tplc="FFFFFFFF" w:tentative="1">
      <w:start w:val="1"/>
      <w:numFmt w:val="bullet"/>
      <w:lvlText w:val="o"/>
      <w:lvlJc w:val="left"/>
      <w:pPr>
        <w:ind w:left="3980" w:hanging="360"/>
      </w:pPr>
      <w:rPr>
        <w:rFonts w:ascii="Courier New" w:hAnsi="Courier New" w:cs="Courier New" w:hint="default"/>
      </w:rPr>
    </w:lvl>
    <w:lvl w:ilvl="5" w:tplc="FFFFFFFF" w:tentative="1">
      <w:start w:val="1"/>
      <w:numFmt w:val="bullet"/>
      <w:lvlText w:val=""/>
      <w:lvlJc w:val="left"/>
      <w:pPr>
        <w:ind w:left="4700" w:hanging="360"/>
      </w:pPr>
      <w:rPr>
        <w:rFonts w:ascii="Wingdings" w:hAnsi="Wingdings" w:hint="default"/>
      </w:rPr>
    </w:lvl>
    <w:lvl w:ilvl="6" w:tplc="FFFFFFFF" w:tentative="1">
      <w:start w:val="1"/>
      <w:numFmt w:val="bullet"/>
      <w:lvlText w:val=""/>
      <w:lvlJc w:val="left"/>
      <w:pPr>
        <w:ind w:left="5420" w:hanging="360"/>
      </w:pPr>
      <w:rPr>
        <w:rFonts w:ascii="Symbol" w:hAnsi="Symbol" w:hint="default"/>
      </w:rPr>
    </w:lvl>
    <w:lvl w:ilvl="7" w:tplc="FFFFFFFF" w:tentative="1">
      <w:start w:val="1"/>
      <w:numFmt w:val="bullet"/>
      <w:lvlText w:val="o"/>
      <w:lvlJc w:val="left"/>
      <w:pPr>
        <w:ind w:left="6140" w:hanging="360"/>
      </w:pPr>
      <w:rPr>
        <w:rFonts w:ascii="Courier New" w:hAnsi="Courier New" w:cs="Courier New" w:hint="default"/>
      </w:rPr>
    </w:lvl>
    <w:lvl w:ilvl="8" w:tplc="FFFFFFFF" w:tentative="1">
      <w:start w:val="1"/>
      <w:numFmt w:val="bullet"/>
      <w:lvlText w:val=""/>
      <w:lvlJc w:val="left"/>
      <w:pPr>
        <w:ind w:left="6860" w:hanging="360"/>
      </w:pPr>
      <w:rPr>
        <w:rFonts w:ascii="Wingdings" w:hAnsi="Wingdings" w:hint="default"/>
      </w:rPr>
    </w:lvl>
  </w:abstractNum>
  <w:abstractNum w:abstractNumId="8" w15:restartNumberingAfterBreak="0">
    <w:nsid w:val="3F1C52C4"/>
    <w:multiLevelType w:val="hybridMultilevel"/>
    <w:tmpl w:val="6142BD74"/>
    <w:lvl w:ilvl="0" w:tplc="FFFFFFFF">
      <w:numFmt w:val="bullet"/>
      <w:lvlText w:val="-"/>
      <w:lvlJc w:val="left"/>
      <w:pPr>
        <w:tabs>
          <w:tab w:val="num" w:pos="283"/>
        </w:tabs>
        <w:ind w:left="283" w:hanging="28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063D4"/>
    <w:multiLevelType w:val="hybridMultilevel"/>
    <w:tmpl w:val="DC0E888A"/>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800"/>
        </w:tabs>
        <w:ind w:left="1800" w:hanging="72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E40AA"/>
    <w:multiLevelType w:val="hybridMultilevel"/>
    <w:tmpl w:val="85569C5C"/>
    <w:lvl w:ilvl="0" w:tplc="FFFFFFFF">
      <w:numFmt w:val="bullet"/>
      <w:lvlText w:val="-"/>
      <w:lvlJc w:val="left"/>
      <w:pPr>
        <w:ind w:left="780" w:hanging="360"/>
      </w:pPr>
      <w:rPr>
        <w:rFonts w:ascii="Times New Roman" w:eastAsia="Times New Roman" w:hAnsi="Times New Roman"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1" w15:restartNumberingAfterBreak="0">
    <w:nsid w:val="411760D6"/>
    <w:multiLevelType w:val="hybridMultilevel"/>
    <w:tmpl w:val="7BAE45FA"/>
    <w:lvl w:ilvl="0" w:tplc="FFFFFFFF">
      <w:start w:val="1"/>
      <w:numFmt w:val="bullet"/>
      <w:lvlText w:val=""/>
      <w:lvlJc w:val="left"/>
      <w:pPr>
        <w:tabs>
          <w:tab w:val="num" w:pos="283"/>
        </w:tabs>
        <w:ind w:left="283" w:hanging="283"/>
      </w:pPr>
      <w:rPr>
        <w:rFonts w:ascii="Symbol" w:hAnsi="Symbol"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C78AA"/>
    <w:multiLevelType w:val="hybridMultilevel"/>
    <w:tmpl w:val="AC688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2290C"/>
    <w:multiLevelType w:val="hybridMultilevel"/>
    <w:tmpl w:val="A48AEC28"/>
    <w:lvl w:ilvl="0" w:tplc="FFFFFFFF">
      <w:numFmt w:val="bullet"/>
      <w:lvlText w:val="-"/>
      <w:lvlJc w:val="left"/>
      <w:pPr>
        <w:tabs>
          <w:tab w:val="num" w:pos="283"/>
        </w:tabs>
        <w:ind w:left="283" w:hanging="28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703F6"/>
    <w:multiLevelType w:val="hybridMultilevel"/>
    <w:tmpl w:val="64766B0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0324FF"/>
    <w:multiLevelType w:val="hybridMultilevel"/>
    <w:tmpl w:val="F81C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375889">
    <w:abstractNumId w:val="11"/>
  </w:num>
  <w:num w:numId="2" w16cid:durableId="780993373">
    <w:abstractNumId w:val="5"/>
  </w:num>
  <w:num w:numId="3" w16cid:durableId="1144085032">
    <w:abstractNumId w:val="9"/>
  </w:num>
  <w:num w:numId="4" w16cid:durableId="2105105290">
    <w:abstractNumId w:val="0"/>
  </w:num>
  <w:num w:numId="5" w16cid:durableId="404882971">
    <w:abstractNumId w:val="1"/>
  </w:num>
  <w:num w:numId="6" w16cid:durableId="1836845901">
    <w:abstractNumId w:val="7"/>
  </w:num>
  <w:num w:numId="7" w16cid:durableId="1361275201">
    <w:abstractNumId w:val="10"/>
  </w:num>
  <w:num w:numId="8" w16cid:durableId="989333684">
    <w:abstractNumId w:val="2"/>
  </w:num>
  <w:num w:numId="9" w16cid:durableId="825898294">
    <w:abstractNumId w:val="14"/>
  </w:num>
  <w:num w:numId="10" w16cid:durableId="1240092209">
    <w:abstractNumId w:val="3"/>
  </w:num>
  <w:num w:numId="11" w16cid:durableId="507402171">
    <w:abstractNumId w:val="15"/>
  </w:num>
  <w:num w:numId="12" w16cid:durableId="1595018298">
    <w:abstractNumId w:val="8"/>
  </w:num>
  <w:num w:numId="13" w16cid:durableId="1929192525">
    <w:abstractNumId w:val="13"/>
  </w:num>
  <w:num w:numId="14" w16cid:durableId="214198592">
    <w:abstractNumId w:val="6"/>
  </w:num>
  <w:num w:numId="15" w16cid:durableId="352415638">
    <w:abstractNumId w:val="4"/>
  </w:num>
  <w:num w:numId="16" w16cid:durableId="1899825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56"/>
    <w:rsid w:val="001460E4"/>
    <w:rsid w:val="00355EEC"/>
    <w:rsid w:val="003B0716"/>
    <w:rsid w:val="003E357A"/>
    <w:rsid w:val="005E02A9"/>
    <w:rsid w:val="00754728"/>
    <w:rsid w:val="00774E33"/>
    <w:rsid w:val="009C087A"/>
    <w:rsid w:val="00A63456"/>
    <w:rsid w:val="00A90F2F"/>
    <w:rsid w:val="00B14462"/>
    <w:rsid w:val="00C43F55"/>
    <w:rsid w:val="00DD4770"/>
    <w:rsid w:val="00F7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39F8"/>
  <w15:chartTrackingRefBased/>
  <w15:docId w15:val="{2A83E4FB-A48E-4311-8C61-F6FA6F92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456"/>
    <w:rPr>
      <w:rFonts w:eastAsiaTheme="majorEastAsia" w:cstheme="majorBidi"/>
      <w:color w:val="272727" w:themeColor="text1" w:themeTint="D8"/>
    </w:rPr>
  </w:style>
  <w:style w:type="paragraph" w:styleId="Title">
    <w:name w:val="Title"/>
    <w:basedOn w:val="Normal"/>
    <w:next w:val="Normal"/>
    <w:link w:val="TitleChar"/>
    <w:uiPriority w:val="10"/>
    <w:qFormat/>
    <w:rsid w:val="00A6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456"/>
    <w:pPr>
      <w:spacing w:before="160"/>
      <w:jc w:val="center"/>
    </w:pPr>
    <w:rPr>
      <w:i/>
      <w:iCs/>
      <w:color w:val="404040" w:themeColor="text1" w:themeTint="BF"/>
    </w:rPr>
  </w:style>
  <w:style w:type="character" w:customStyle="1" w:styleId="QuoteChar">
    <w:name w:val="Quote Char"/>
    <w:basedOn w:val="DefaultParagraphFont"/>
    <w:link w:val="Quote"/>
    <w:uiPriority w:val="29"/>
    <w:rsid w:val="00A63456"/>
    <w:rPr>
      <w:i/>
      <w:iCs/>
      <w:color w:val="404040" w:themeColor="text1" w:themeTint="BF"/>
    </w:rPr>
  </w:style>
  <w:style w:type="paragraph" w:styleId="ListParagraph">
    <w:name w:val="List Paragraph"/>
    <w:basedOn w:val="Normal"/>
    <w:uiPriority w:val="34"/>
    <w:qFormat/>
    <w:rsid w:val="00A63456"/>
    <w:pPr>
      <w:ind w:left="720"/>
      <w:contextualSpacing/>
    </w:pPr>
  </w:style>
  <w:style w:type="character" w:styleId="IntenseEmphasis">
    <w:name w:val="Intense Emphasis"/>
    <w:basedOn w:val="DefaultParagraphFont"/>
    <w:uiPriority w:val="21"/>
    <w:qFormat/>
    <w:rsid w:val="00A63456"/>
    <w:rPr>
      <w:i/>
      <w:iCs/>
      <w:color w:val="0F4761" w:themeColor="accent1" w:themeShade="BF"/>
    </w:rPr>
  </w:style>
  <w:style w:type="paragraph" w:styleId="IntenseQuote">
    <w:name w:val="Intense Quote"/>
    <w:basedOn w:val="Normal"/>
    <w:next w:val="Normal"/>
    <w:link w:val="IntenseQuoteChar"/>
    <w:uiPriority w:val="30"/>
    <w:qFormat/>
    <w:rsid w:val="00A6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456"/>
    <w:rPr>
      <w:i/>
      <w:iCs/>
      <w:color w:val="0F4761" w:themeColor="accent1" w:themeShade="BF"/>
    </w:rPr>
  </w:style>
  <w:style w:type="character" w:styleId="IntenseReference">
    <w:name w:val="Intense Reference"/>
    <w:basedOn w:val="DefaultParagraphFont"/>
    <w:uiPriority w:val="32"/>
    <w:qFormat/>
    <w:rsid w:val="00A63456"/>
    <w:rPr>
      <w:b/>
      <w:bCs/>
      <w:smallCaps/>
      <w:color w:val="0F4761" w:themeColor="accent1" w:themeShade="BF"/>
      <w:spacing w:val="5"/>
    </w:rPr>
  </w:style>
  <w:style w:type="paragraph" w:styleId="Header">
    <w:name w:val="header"/>
    <w:basedOn w:val="Normal"/>
    <w:link w:val="HeaderChar"/>
    <w:uiPriority w:val="99"/>
    <w:unhideWhenUsed/>
    <w:rsid w:val="00A90F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0F2F"/>
  </w:style>
  <w:style w:type="paragraph" w:styleId="Footer">
    <w:name w:val="footer"/>
    <w:basedOn w:val="Normal"/>
    <w:link w:val="FooterChar"/>
    <w:uiPriority w:val="99"/>
    <w:unhideWhenUsed/>
    <w:rsid w:val="00A90F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0F2F"/>
  </w:style>
  <w:style w:type="paragraph" w:customStyle="1" w:styleId="wfxRecipient">
    <w:name w:val="wfxRecipient"/>
    <w:basedOn w:val="Normal"/>
    <w:rsid w:val="005E02A9"/>
    <w:pPr>
      <w:spacing w:after="200" w:line="276" w:lineRule="auto"/>
    </w:pPr>
    <w:rPr>
      <w:rFonts w:ascii="Arial" w:eastAsia="Times New Roman" w:hAnsi="Arial" w:cs="Times New Roman"/>
      <w:kern w:val="0"/>
      <w:sz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Dekandias Panagiotis</dc:creator>
  <cp:keywords/>
  <dc:description/>
  <cp:lastModifiedBy>Panou Christina</cp:lastModifiedBy>
  <cp:revision>11</cp:revision>
  <dcterms:created xsi:type="dcterms:W3CDTF">2024-02-09T12:05:00Z</dcterms:created>
  <dcterms:modified xsi:type="dcterms:W3CDTF">2024-03-29T08:10:00Z</dcterms:modified>
</cp:coreProperties>
</file>